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A3E3D" w14:textId="33A8B455" w:rsidR="00277B70" w:rsidRDefault="00C808F9" w:rsidP="00CC17FC">
      <w:pPr>
        <w:rPr>
          <w:rFonts w:asciiTheme="minorHAnsi" w:hAnsiTheme="minorHAnsi"/>
          <w:b/>
          <w:bCs/>
          <w:lang w:val="en-GB"/>
        </w:rPr>
      </w:pPr>
      <w:r w:rsidRPr="008D0374">
        <w:rPr>
          <w:noProof/>
        </w:rPr>
        <w:drawing>
          <wp:inline distT="0" distB="0" distL="0" distR="0" wp14:anchorId="6A1AEDD4" wp14:editId="2622CCC3">
            <wp:extent cx="1609725" cy="813972"/>
            <wp:effectExtent l="0" t="0" r="0" b="5715"/>
            <wp:docPr id="1526466227" name="Picture 1" descr="A logo with blue and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587" cy="82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4ADF" w:rsidRPr="008D0374">
        <w:rPr>
          <w:noProof/>
          <w:lang w:eastAsia="en-IE"/>
        </w:rPr>
        <w:drawing>
          <wp:anchor distT="0" distB="0" distL="114300" distR="114300" simplePos="0" relativeHeight="251661312" behindDoc="1" locked="0" layoutInCell="1" allowOverlap="1" wp14:anchorId="4FA926ED" wp14:editId="7A14A507">
            <wp:simplePos x="0" y="0"/>
            <wp:positionH relativeFrom="margin">
              <wp:posOffset>1800225</wp:posOffset>
            </wp:positionH>
            <wp:positionV relativeFrom="paragraph">
              <wp:posOffset>85725</wp:posOffset>
            </wp:positionV>
            <wp:extent cx="2095500" cy="848995"/>
            <wp:effectExtent l="0" t="0" r="0" b="8255"/>
            <wp:wrapTight wrapText="bothSides">
              <wp:wrapPolygon edited="0">
                <wp:start x="0" y="0"/>
                <wp:lineTo x="0" y="21325"/>
                <wp:lineTo x="21404" y="21325"/>
                <wp:lineTo x="21404" y="0"/>
                <wp:lineTo x="0" y="0"/>
              </wp:wrapPolygon>
            </wp:wrapTight>
            <wp:docPr id="1883446529" name="Picture 7" descr="A black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762309" name="Picture 7" descr="A black text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7C25" w:rsidRPr="008D0374">
        <w:rPr>
          <w:noProof/>
          <w:lang w:eastAsia="en-IE"/>
        </w:rPr>
        <w:drawing>
          <wp:anchor distT="0" distB="0" distL="114300" distR="114300" simplePos="0" relativeHeight="251659264" behindDoc="1" locked="0" layoutInCell="1" allowOverlap="1" wp14:anchorId="541F86F8" wp14:editId="780C62B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04950" cy="1025525"/>
            <wp:effectExtent l="0" t="0" r="0" b="3175"/>
            <wp:wrapTight wrapText="bothSides">
              <wp:wrapPolygon edited="0">
                <wp:start x="0" y="0"/>
                <wp:lineTo x="0" y="21266"/>
                <wp:lineTo x="21327" y="21266"/>
                <wp:lineTo x="21327" y="0"/>
                <wp:lineTo x="0" y="0"/>
              </wp:wrapPolygon>
            </wp:wrapTight>
            <wp:docPr id="3" name="Picture 2" descr="A yellow sign with black text and a yellow shie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yellow sign with black text and a yellow shie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68488F" w14:textId="77777777" w:rsidR="00277B70" w:rsidRDefault="00277B70" w:rsidP="00CC17FC">
      <w:pPr>
        <w:rPr>
          <w:rFonts w:asciiTheme="minorHAnsi" w:hAnsiTheme="minorHAnsi"/>
          <w:b/>
          <w:bCs/>
          <w:lang w:val="en-GB"/>
        </w:rPr>
      </w:pPr>
    </w:p>
    <w:p w14:paraId="467630EC" w14:textId="021CE567" w:rsidR="00CC17FC" w:rsidRPr="00C808F9" w:rsidRDefault="00CC17FC" w:rsidP="00CC17FC">
      <w:pPr>
        <w:rPr>
          <w:b/>
          <w:bCs/>
          <w:lang w:val="en-GB"/>
        </w:rPr>
      </w:pPr>
      <w:r w:rsidRPr="00C808F9">
        <w:rPr>
          <w:b/>
          <w:bCs/>
          <w:lang w:val="en-GB"/>
        </w:rPr>
        <w:t>Appendix A.</w:t>
      </w:r>
      <w:r w:rsidRPr="00C808F9">
        <w:rPr>
          <w:b/>
          <w:bCs/>
          <w:lang w:val="en-GB"/>
        </w:rPr>
        <w:tab/>
        <w:t>d33 Measurement on Clamped Thin Films</w:t>
      </w:r>
    </w:p>
    <w:p w14:paraId="5F0F2CA1" w14:textId="77777777" w:rsidR="00CC17FC" w:rsidRPr="00C808F9" w:rsidRDefault="00CC17FC" w:rsidP="00C808F9">
      <w:pPr>
        <w:jc w:val="both"/>
        <w:rPr>
          <w:b/>
          <w:bCs/>
          <w:lang w:val="en-GB"/>
        </w:rPr>
      </w:pPr>
      <w:r w:rsidRPr="00C808F9">
        <w:rPr>
          <w:b/>
          <w:bCs/>
          <w:lang w:val="en-GB"/>
        </w:rPr>
        <w:t>THIN-FILM PIEZOELECTRIC CHARACTERISATION ON CLAMPED STRUCTURES: Effective d33 Measurement on Clamped Thin Films</w:t>
      </w:r>
    </w:p>
    <w:p w14:paraId="643005C3" w14:textId="77777777" w:rsidR="00CC17FC" w:rsidRPr="00C808F9" w:rsidRDefault="00CC17FC" w:rsidP="00C808F9">
      <w:pPr>
        <w:tabs>
          <w:tab w:val="left" w:pos="450"/>
          <w:tab w:val="center" w:pos="4513"/>
          <w:tab w:val="right" w:pos="9026"/>
        </w:tabs>
        <w:autoSpaceDE w:val="0"/>
        <w:autoSpaceDN w:val="0"/>
        <w:adjustRightInd w:val="0"/>
        <w:spacing w:after="120" w:line="240" w:lineRule="auto"/>
        <w:jc w:val="both"/>
      </w:pPr>
      <w:r w:rsidRPr="00C808F9">
        <w:t xml:space="preserve">The platform </w:t>
      </w:r>
      <w:r w:rsidRPr="00C808F9">
        <w:rPr>
          <w:b/>
          <w:bCs/>
        </w:rPr>
        <w:t>MUST</w:t>
      </w:r>
      <w:r w:rsidRPr="00C808F9">
        <w:t xml:space="preserve"> be capable of measuring the effective longitudinal piezoelectric coefficient of clamped thin-film capacitor structures on substrates and wafers. </w:t>
      </w:r>
    </w:p>
    <w:p w14:paraId="50AB93E5" w14:textId="2159EB8C" w:rsidR="00CC17FC" w:rsidRPr="00C808F9" w:rsidRDefault="00CC17FC" w:rsidP="00C808F9">
      <w:pPr>
        <w:jc w:val="both"/>
        <w:rPr>
          <w:b/>
          <w:bCs/>
          <w:lang w:val="en-GB"/>
        </w:rPr>
      </w:pPr>
      <w:r w:rsidRPr="00C808F9">
        <w:t xml:space="preserve">Tenderers </w:t>
      </w:r>
      <w:r w:rsidRPr="00C808F9">
        <w:rPr>
          <w:b/>
          <w:bCs/>
        </w:rPr>
        <w:t>MUST</w:t>
      </w:r>
      <w:r w:rsidRPr="00C808F9">
        <w:t xml:space="preserve"> complete the following table to define the performance and requirements of their proposed thin-film piezoelectric characterisation subsystem.</w:t>
      </w:r>
    </w:p>
    <w:p w14:paraId="3F3FB403" w14:textId="77777777" w:rsidR="00820CF7" w:rsidRPr="00C808F9" w:rsidRDefault="00820CF7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250"/>
        <w:gridCol w:w="2250"/>
        <w:gridCol w:w="2250"/>
        <w:gridCol w:w="2250"/>
      </w:tblGrid>
      <w:tr w:rsidR="00CC17FC" w:rsidRPr="00C808F9" w14:paraId="44ADE34F" w14:textId="77777777" w:rsidTr="76177427">
        <w:trPr>
          <w:trHeight w:val="300"/>
        </w:trPr>
        <w:tc>
          <w:tcPr>
            <w:tcW w:w="2250" w:type="dxa"/>
          </w:tcPr>
          <w:p w14:paraId="29ED2DCD" w14:textId="77777777" w:rsidR="00CC17FC" w:rsidRPr="00C808F9" w:rsidRDefault="00CC17FC" w:rsidP="009559AD">
            <w:pPr>
              <w:spacing w:before="60" w:after="60"/>
              <w:jc w:val="center"/>
              <w:rPr>
                <w:rFonts w:eastAsiaTheme="minorEastAsia"/>
              </w:rPr>
            </w:pPr>
          </w:p>
          <w:p w14:paraId="0B02DB21" w14:textId="77777777" w:rsidR="00CC17FC" w:rsidRPr="00C808F9" w:rsidRDefault="00CC17FC" w:rsidP="009559AD">
            <w:pPr>
              <w:spacing w:before="60" w:after="60"/>
              <w:jc w:val="center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Technical Attribute</w:t>
            </w:r>
          </w:p>
        </w:tc>
        <w:tc>
          <w:tcPr>
            <w:tcW w:w="2250" w:type="dxa"/>
          </w:tcPr>
          <w:p w14:paraId="079D49AC" w14:textId="77777777" w:rsidR="00CC17FC" w:rsidRPr="00C808F9" w:rsidRDefault="00CC17FC" w:rsidP="009559AD">
            <w:pPr>
              <w:spacing w:before="60" w:after="60"/>
              <w:jc w:val="center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Tyndall Minimum Requirement ("MUST")</w:t>
            </w:r>
          </w:p>
        </w:tc>
        <w:tc>
          <w:tcPr>
            <w:tcW w:w="2250" w:type="dxa"/>
          </w:tcPr>
          <w:p w14:paraId="3820064E" w14:textId="77777777" w:rsidR="00CC17FC" w:rsidRPr="00C808F9" w:rsidRDefault="00CC17FC" w:rsidP="009559AD">
            <w:pPr>
              <w:spacing w:before="60" w:after="60"/>
              <w:jc w:val="center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Tenderer's Proposed Specification</w:t>
            </w:r>
          </w:p>
        </w:tc>
        <w:tc>
          <w:tcPr>
            <w:tcW w:w="2250" w:type="dxa"/>
          </w:tcPr>
          <w:p w14:paraId="3F9EA85E" w14:textId="77777777" w:rsidR="00CC17FC" w:rsidRPr="00C808F9" w:rsidRDefault="00CC17FC" w:rsidP="009559AD">
            <w:pPr>
              <w:spacing w:before="60" w:after="60"/>
              <w:jc w:val="center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Detailed Description / Supporting Doc Reference</w:t>
            </w:r>
          </w:p>
        </w:tc>
      </w:tr>
      <w:tr w:rsidR="00CC17FC" w:rsidRPr="00C808F9" w14:paraId="713E340C" w14:textId="77777777" w:rsidTr="76177427">
        <w:trPr>
          <w:trHeight w:val="300"/>
        </w:trPr>
        <w:tc>
          <w:tcPr>
            <w:tcW w:w="2250" w:type="dxa"/>
          </w:tcPr>
          <w:p w14:paraId="5DF61A46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Measurement Principle</w:t>
            </w:r>
          </w:p>
        </w:tc>
        <w:tc>
          <w:tcPr>
            <w:tcW w:w="2250" w:type="dxa"/>
          </w:tcPr>
          <w:p w14:paraId="455AE1B2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Suppression of substrate bending </w:t>
            </w:r>
          </w:p>
        </w:tc>
        <w:tc>
          <w:tcPr>
            <w:tcW w:w="2250" w:type="dxa"/>
          </w:tcPr>
          <w:p w14:paraId="4A914394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41DA5D68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[Must detail method]</w:t>
            </w:r>
          </w:p>
        </w:tc>
      </w:tr>
      <w:tr w:rsidR="00CC17FC" w:rsidRPr="00C808F9" w14:paraId="71D1ED00" w14:textId="77777777" w:rsidTr="76177427">
        <w:trPr>
          <w:trHeight w:val="300"/>
        </w:trPr>
        <w:tc>
          <w:tcPr>
            <w:tcW w:w="2250" w:type="dxa"/>
          </w:tcPr>
          <w:p w14:paraId="7A5FA552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Min. Displacement Resolution</w:t>
            </w:r>
          </w:p>
        </w:tc>
        <w:tc>
          <w:tcPr>
            <w:tcW w:w="2250" w:type="dxa"/>
          </w:tcPr>
          <w:p w14:paraId="42562975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Better than 1 pm </w:t>
            </w:r>
          </w:p>
        </w:tc>
        <w:tc>
          <w:tcPr>
            <w:tcW w:w="2250" w:type="dxa"/>
          </w:tcPr>
          <w:p w14:paraId="7E815247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423E79C2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[Reference specific sensor spec]</w:t>
            </w:r>
          </w:p>
        </w:tc>
      </w:tr>
      <w:tr w:rsidR="00CC17FC" w:rsidRPr="00C808F9" w14:paraId="39186ECE" w14:textId="77777777" w:rsidTr="76177427">
        <w:trPr>
          <w:trHeight w:val="300"/>
        </w:trPr>
        <w:tc>
          <w:tcPr>
            <w:tcW w:w="2250" w:type="dxa"/>
          </w:tcPr>
          <w:p w14:paraId="1D7E1DED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Repeatability (</w:t>
            </w:r>
            <w:r w:rsidRPr="00C808F9">
              <w:rPr>
                <w:rFonts w:eastAsiaTheme="minorEastAsia"/>
                <w:i/>
                <w:iCs/>
                <w:color w:val="303030"/>
                <w:sz w:val="22"/>
                <w:szCs w:val="22"/>
              </w:rPr>
              <w:t>d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33,</w:t>
            </w:r>
            <w:r w:rsidRPr="00C808F9">
              <w:rPr>
                <w:rFonts w:eastAsiaTheme="minorEastAsia"/>
                <w:i/>
                <w:iCs/>
                <w:color w:val="303030"/>
                <w:sz w:val="22"/>
                <w:szCs w:val="22"/>
              </w:rPr>
              <w:t>f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 </w:t>
            </w: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)</w:t>
            </w:r>
          </w:p>
        </w:tc>
        <w:tc>
          <w:tcPr>
            <w:tcW w:w="2250" w:type="dxa"/>
          </w:tcPr>
          <w:p w14:paraId="0A4EC992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≤ 1% to 5% Sigma on Quartz reference</w:t>
            </w:r>
          </w:p>
        </w:tc>
        <w:tc>
          <w:tcPr>
            <w:tcW w:w="2250" w:type="dxa"/>
          </w:tcPr>
          <w:p w14:paraId="0B97898F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4F84EA2C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[Reference test data]</w:t>
            </w:r>
          </w:p>
        </w:tc>
      </w:tr>
      <w:tr w:rsidR="00CC17FC" w:rsidRPr="00C808F9" w14:paraId="64417464" w14:textId="77777777" w:rsidTr="76177427">
        <w:trPr>
          <w:trHeight w:val="300"/>
        </w:trPr>
        <w:tc>
          <w:tcPr>
            <w:tcW w:w="2250" w:type="dxa"/>
          </w:tcPr>
          <w:p w14:paraId="795F9FFC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Substrate Thickness Range</w:t>
            </w:r>
          </w:p>
        </w:tc>
        <w:tc>
          <w:tcPr>
            <w:tcW w:w="2250" w:type="dxa"/>
          </w:tcPr>
          <w:p w14:paraId="64898DDE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</w:rPr>
              <w:t>5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0 µm to 1,</w:t>
            </w:r>
            <w:r w:rsidRPr="00C808F9">
              <w:rPr>
                <w:rFonts w:eastAsiaTheme="minorEastAsia"/>
                <w:color w:val="303030"/>
              </w:rPr>
              <w:t>5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00 µm (1</w:t>
            </w:r>
            <w:r w:rsidRPr="00C808F9">
              <w:rPr>
                <w:rFonts w:eastAsiaTheme="minorEastAsia"/>
                <w:color w:val="303030"/>
              </w:rPr>
              <w:t>.5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 mm)</w:t>
            </w:r>
          </w:p>
        </w:tc>
        <w:tc>
          <w:tcPr>
            <w:tcW w:w="2250" w:type="dxa"/>
          </w:tcPr>
          <w:p w14:paraId="0C14594A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03B224FB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</w:tr>
      <w:tr w:rsidR="00CC17FC" w:rsidRPr="00C808F9" w14:paraId="6B9323E3" w14:textId="77777777" w:rsidTr="76177427">
        <w:trPr>
          <w:trHeight w:val="300"/>
        </w:trPr>
        <w:tc>
          <w:tcPr>
            <w:tcW w:w="2250" w:type="dxa"/>
          </w:tcPr>
          <w:p w14:paraId="3E1B1DE9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Backside Optical Access</w:t>
            </w:r>
          </w:p>
        </w:tc>
        <w:tc>
          <w:tcPr>
            <w:tcW w:w="2250" w:type="dxa"/>
          </w:tcPr>
          <w:p w14:paraId="3157379B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State</w:t>
            </w:r>
            <w:r w:rsidRPr="00C808F9">
              <w:rPr>
                <w:rFonts w:eastAsiaTheme="minorEastAsia"/>
                <w:color w:val="303030"/>
              </w:rPr>
              <w:t xml:space="preserve"> whether required or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 </w:t>
            </w:r>
            <w:r w:rsidRPr="00C808F9">
              <w:rPr>
                <w:rFonts w:eastAsiaTheme="minorEastAsia"/>
                <w:color w:val="303030"/>
              </w:rPr>
              <w:t xml:space="preserve">whether 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not applicable for proposed method</w:t>
            </w:r>
          </w:p>
        </w:tc>
        <w:tc>
          <w:tcPr>
            <w:tcW w:w="2250" w:type="dxa"/>
          </w:tcPr>
          <w:p w14:paraId="79FD057B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7AC82728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[Describe sample holder access]</w:t>
            </w:r>
          </w:p>
        </w:tc>
      </w:tr>
      <w:tr w:rsidR="00CC17FC" w:rsidRPr="00C808F9" w14:paraId="1BCC6CEC" w14:textId="77777777" w:rsidTr="76177427">
        <w:trPr>
          <w:trHeight w:val="300"/>
        </w:trPr>
        <w:tc>
          <w:tcPr>
            <w:tcW w:w="2250" w:type="dxa"/>
          </w:tcPr>
          <w:p w14:paraId="06D4AD23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Backside Reflectivity</w:t>
            </w:r>
          </w:p>
        </w:tc>
        <w:tc>
          <w:tcPr>
            <w:tcW w:w="2250" w:type="dxa"/>
          </w:tcPr>
          <w:p w14:paraId="2802B9F5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State if metallisation or polishing is required</w:t>
            </w:r>
          </w:p>
        </w:tc>
        <w:tc>
          <w:tcPr>
            <w:tcW w:w="2250" w:type="dxa"/>
          </w:tcPr>
          <w:p w14:paraId="0BA4C639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4B55207E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</w:tr>
      <w:tr w:rsidR="00CC17FC" w:rsidRPr="00C808F9" w14:paraId="22D3509D" w14:textId="77777777" w:rsidTr="76177427">
        <w:trPr>
          <w:trHeight w:val="300"/>
        </w:trPr>
        <w:tc>
          <w:tcPr>
            <w:tcW w:w="2250" w:type="dxa"/>
          </w:tcPr>
          <w:p w14:paraId="0C7B69D6" w14:textId="75627908" w:rsidR="00CC17FC" w:rsidRPr="00C808F9" w:rsidRDefault="00CC17FC" w:rsidP="76177427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 xml:space="preserve">Max Sample Size </w:t>
            </w:r>
          </w:p>
        </w:tc>
        <w:tc>
          <w:tcPr>
            <w:tcW w:w="2250" w:type="dxa"/>
          </w:tcPr>
          <w:p w14:paraId="7597F0E2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At least 100 mm (4-inch) (Wafer Mapping)</w:t>
            </w:r>
          </w:p>
        </w:tc>
        <w:tc>
          <w:tcPr>
            <w:tcW w:w="2250" w:type="dxa"/>
          </w:tcPr>
          <w:p w14:paraId="61010C81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00499B31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</w:tr>
      <w:tr w:rsidR="00CC17FC" w:rsidRPr="00C808F9" w14:paraId="5D6B3234" w14:textId="77777777" w:rsidTr="76177427">
        <w:trPr>
          <w:trHeight w:val="300"/>
        </w:trPr>
        <w:tc>
          <w:tcPr>
            <w:tcW w:w="2250" w:type="dxa"/>
          </w:tcPr>
          <w:p w14:paraId="6A6E892F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Min Electrode Dimension</w:t>
            </w:r>
          </w:p>
        </w:tc>
        <w:tc>
          <w:tcPr>
            <w:tcW w:w="2250" w:type="dxa"/>
          </w:tcPr>
          <w:p w14:paraId="2D91C4D0" w14:textId="77777777" w:rsidR="00CC17FC" w:rsidRPr="00C808F9" w:rsidRDefault="00CC17FC" w:rsidP="009559AD">
            <w:pPr>
              <w:rPr>
                <w:rFonts w:eastAsiaTheme="minorEastAsia"/>
                <w:color w:val="303030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Compatible with </w:t>
            </w: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t>l</w:t>
            </w:r>
            <w:r w:rsidRPr="00C808F9">
              <w:rPr>
                <w:rFonts w:eastAsiaTheme="minorEastAsia"/>
                <w:color w:val="303030"/>
                <w:sz w:val="22"/>
                <w:szCs w:val="22"/>
              </w:rPr>
              <w:t xml:space="preserve">aser spot size </w:t>
            </w:r>
          </w:p>
        </w:tc>
        <w:tc>
          <w:tcPr>
            <w:tcW w:w="2250" w:type="dxa"/>
          </w:tcPr>
          <w:p w14:paraId="4C383940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23F9365A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</w:rPr>
            </w:pPr>
          </w:p>
          <w:p w14:paraId="2AA6D5F7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[State laser spot size]</w:t>
            </w:r>
          </w:p>
        </w:tc>
      </w:tr>
      <w:tr w:rsidR="00CC17FC" w:rsidRPr="00C808F9" w14:paraId="739CEB04" w14:textId="77777777" w:rsidTr="76177427">
        <w:trPr>
          <w:trHeight w:val="300"/>
        </w:trPr>
        <w:tc>
          <w:tcPr>
            <w:tcW w:w="2250" w:type="dxa"/>
          </w:tcPr>
          <w:p w14:paraId="7471EE0C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b/>
                <w:bCs/>
                <w:color w:val="303030"/>
                <w:sz w:val="22"/>
                <w:szCs w:val="22"/>
              </w:rPr>
              <w:lastRenderedPageBreak/>
              <w:t>Bottom Electrode Access</w:t>
            </w:r>
          </w:p>
        </w:tc>
        <w:tc>
          <w:tcPr>
            <w:tcW w:w="2250" w:type="dxa"/>
          </w:tcPr>
          <w:p w14:paraId="51C6378C" w14:textId="77777777" w:rsidR="00CC17FC" w:rsidRPr="00C808F9" w:rsidRDefault="00CC17FC" w:rsidP="009559AD">
            <w:pPr>
              <w:rPr>
                <w:rFonts w:eastAsiaTheme="minorEastAsia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Method for common bottom contact on wafers/coupons</w:t>
            </w:r>
          </w:p>
        </w:tc>
        <w:tc>
          <w:tcPr>
            <w:tcW w:w="2250" w:type="dxa"/>
          </w:tcPr>
          <w:p w14:paraId="3C4DD2FF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10A45203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</w:rPr>
            </w:pPr>
          </w:p>
          <w:p w14:paraId="0AEAFA9C" w14:textId="77777777" w:rsidR="00CC17FC" w:rsidRPr="00C808F9" w:rsidRDefault="00CC17FC" w:rsidP="009559AD">
            <w:pPr>
              <w:spacing w:before="60" w:after="60"/>
              <w:rPr>
                <w:rFonts w:eastAsiaTheme="minorEastAsia"/>
                <w:color w:val="303030"/>
                <w:sz w:val="22"/>
                <w:szCs w:val="22"/>
              </w:rPr>
            </w:pPr>
            <w:r w:rsidRPr="00C808F9">
              <w:rPr>
                <w:rFonts w:eastAsiaTheme="minorEastAsia"/>
                <w:color w:val="303030"/>
                <w:sz w:val="22"/>
                <w:szCs w:val="22"/>
              </w:rPr>
              <w:t>[e.g., Conductive Chuck or Probe]</w:t>
            </w:r>
          </w:p>
        </w:tc>
      </w:tr>
      <w:tr w:rsidR="00CC17FC" w:rsidRPr="00C808F9" w14:paraId="17B83B62" w14:textId="77777777" w:rsidTr="76177427">
        <w:trPr>
          <w:trHeight w:val="300"/>
        </w:trPr>
        <w:tc>
          <w:tcPr>
            <w:tcW w:w="2250" w:type="dxa"/>
          </w:tcPr>
          <w:p w14:paraId="65F0E912" w14:textId="77777777" w:rsidR="00CC17FC" w:rsidRPr="00C808F9" w:rsidRDefault="00CC17FC" w:rsidP="009559AD">
            <w:r w:rsidRPr="00C808F9">
              <w:rPr>
                <w:b/>
                <w:bCs/>
                <w:color w:val="303030"/>
                <w:sz w:val="22"/>
                <w:szCs w:val="22"/>
              </w:rPr>
              <w:t>Top Electrode Geometry</w:t>
            </w:r>
          </w:p>
        </w:tc>
        <w:tc>
          <w:tcPr>
            <w:tcW w:w="2250" w:type="dxa"/>
          </w:tcPr>
          <w:p w14:paraId="662A31AD" w14:textId="77777777" w:rsidR="00CC17FC" w:rsidRPr="00C808F9" w:rsidRDefault="00CC17FC" w:rsidP="009559AD">
            <w:r w:rsidRPr="00C808F9">
              <w:rPr>
                <w:color w:val="303030"/>
                <w:sz w:val="22"/>
                <w:szCs w:val="22"/>
              </w:rPr>
              <w:t>Must state required configuration (e.g., round, rectangular, or equivalent)</w:t>
            </w:r>
          </w:p>
        </w:tc>
        <w:tc>
          <w:tcPr>
            <w:tcW w:w="2250" w:type="dxa"/>
          </w:tcPr>
          <w:p w14:paraId="7BC0A764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  <w:tc>
          <w:tcPr>
            <w:tcW w:w="2250" w:type="dxa"/>
          </w:tcPr>
          <w:p w14:paraId="28E29699" w14:textId="77777777" w:rsidR="00CC17FC" w:rsidRPr="00C808F9" w:rsidRDefault="00CC17FC" w:rsidP="009559AD">
            <w:pPr>
              <w:rPr>
                <w:rFonts w:eastAsiaTheme="minorEastAsia"/>
              </w:rPr>
            </w:pPr>
          </w:p>
        </w:tc>
      </w:tr>
    </w:tbl>
    <w:p w14:paraId="2C3E4DF5" w14:textId="77777777" w:rsidR="00CC17FC" w:rsidRPr="00C808F9" w:rsidRDefault="00CC17FC"/>
    <w:sectPr w:rsidR="00CC17FC" w:rsidRPr="00C808F9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F918D" w14:textId="77777777" w:rsidR="00F41A43" w:rsidRDefault="00F41A43" w:rsidP="00C132BA">
      <w:pPr>
        <w:spacing w:after="0" w:line="240" w:lineRule="auto"/>
      </w:pPr>
      <w:r>
        <w:separator/>
      </w:r>
    </w:p>
  </w:endnote>
  <w:endnote w:type="continuationSeparator" w:id="0">
    <w:p w14:paraId="2769182C" w14:textId="77777777" w:rsidR="00F41A43" w:rsidRDefault="00F41A43" w:rsidP="00C13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5CE3B" w14:textId="77777777" w:rsidR="00F41A43" w:rsidRDefault="00F41A43" w:rsidP="00C132BA">
      <w:pPr>
        <w:spacing w:after="0" w:line="240" w:lineRule="auto"/>
      </w:pPr>
      <w:r>
        <w:separator/>
      </w:r>
    </w:p>
  </w:footnote>
  <w:footnote w:type="continuationSeparator" w:id="0">
    <w:p w14:paraId="7DC7D65D" w14:textId="77777777" w:rsidR="00F41A43" w:rsidRDefault="00F41A43" w:rsidP="00C13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9CC45" w14:textId="33413542" w:rsidR="00C132BA" w:rsidRDefault="00C132BA" w:rsidP="00C132BA">
    <w:pPr>
      <w:pStyle w:val="Header"/>
      <w:jc w:val="right"/>
    </w:pPr>
    <w:r>
      <w:t>LA3673C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FC"/>
    <w:rsid w:val="001A2843"/>
    <w:rsid w:val="00277B70"/>
    <w:rsid w:val="002E0627"/>
    <w:rsid w:val="003223DB"/>
    <w:rsid w:val="0040612F"/>
    <w:rsid w:val="00457C25"/>
    <w:rsid w:val="005E7E4F"/>
    <w:rsid w:val="00817F49"/>
    <w:rsid w:val="00820CF7"/>
    <w:rsid w:val="009E4ADF"/>
    <w:rsid w:val="00C132BA"/>
    <w:rsid w:val="00C808F9"/>
    <w:rsid w:val="00CC17FC"/>
    <w:rsid w:val="00D13E73"/>
    <w:rsid w:val="00EE160D"/>
    <w:rsid w:val="00EE2197"/>
    <w:rsid w:val="00F41A43"/>
    <w:rsid w:val="11A5377C"/>
    <w:rsid w:val="2A8833DD"/>
    <w:rsid w:val="610E6350"/>
    <w:rsid w:val="6F24F3EB"/>
    <w:rsid w:val="7617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8284"/>
  <w15:chartTrackingRefBased/>
  <w15:docId w15:val="{6E5876E4-F7A9-4807-A679-1B14A83E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7FC"/>
    <w:pPr>
      <w:spacing w:after="200" w:line="276" w:lineRule="auto"/>
    </w:pPr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17F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17F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7F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17F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17F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17FC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17FC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17FC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17FC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17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17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7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17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17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17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17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17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17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17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17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17F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17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17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17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17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17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17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17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17F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C17FC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en-I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5E7E4F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132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2BA"/>
    <w:rPr>
      <w:rFonts w:ascii="Calibri" w:eastAsia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132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2BA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Props1.xml><?xml version="1.0" encoding="utf-8"?>
<ds:datastoreItem xmlns:ds="http://schemas.openxmlformats.org/officeDocument/2006/customXml" ds:itemID="{E8007CF1-0D59-4F93-AA9F-4BC20708DA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6BDA6-4125-4E1E-916D-1D7F481A8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E56B13-F0FA-4772-B0D3-2CA59EF80CC3}">
  <ds:schemaRefs>
    <ds:schemaRef ds:uri="http://schemas.microsoft.com/office/2006/metadata/properties"/>
    <ds:schemaRef ds:uri="http://schemas.microsoft.com/office/infopath/2007/PartnerControls"/>
    <ds:schemaRef ds:uri="c10e73f3-f2aa-4329-baf7-b975924b9946"/>
    <ds:schemaRef ds:uri="ef1a2c82-1736-475a-b908-5dbfd7a38dc4"/>
  </ds:schemaRefs>
</ds:datastoreItem>
</file>

<file path=docMetadata/LabelInfo.xml><?xml version="1.0" encoding="utf-8"?>
<clbl:labelList xmlns:clbl="http://schemas.microsoft.com/office/2020/mipLabelMetadata">
  <clbl:label id="{0084b924-3ab4-4116-9251-9939f695e54c}" enabled="0" method="" siteId="{0084b924-3ab4-4116-9251-9939f695e54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1269</Characters>
  <Application>Microsoft Office Word</Application>
  <DocSecurity>4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Ryan (Procurement &amp; Contracts)</dc:creator>
  <cp:keywords/>
  <dc:description/>
  <cp:lastModifiedBy>Grainne.M.Quinn</cp:lastModifiedBy>
  <cp:revision>2</cp:revision>
  <dcterms:created xsi:type="dcterms:W3CDTF">2026-07-22T12:10:00Z</dcterms:created>
  <dcterms:modified xsi:type="dcterms:W3CDTF">2026-07-22T12:10:00Z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